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mc:Ignorable="w14 wp14 ">
  <w:body>
    <w:tbl>
      <w:tblPr>
        <w:tblStyle w:val="TableGrid"/>
        <w:tblInd w:w="0" w:type="dxa"/>
      </w:tblPr>
      <w:tblGrid>
        <w:gridCol w:w="6313"/>
        <w:gridCol w:w="2929"/>
      </w:tblGrid>
      <w:tr>
        <w:trPr/>
        <w:tc>
          <w:tcPr>
            <w:tcW w:w="6313" w:type="dxa"/>
          </w:tcPr>
          <w:p w14:paraId="00000001">
            <w:pPr>
              <w:rPr>
                <w:b/>
                <w:bCs/>
                <w:sz w:val="36"/>
                <w:szCs w:val="36"/>
                <w:lang w:val="en-GB"/>
              </w:rPr>
            </w:pPr>
            <w:r>
              <w:rPr>
                <w:b/>
                <w:bCs/>
                <w:sz w:val="36"/>
                <w:szCs w:val="36"/>
                <w:lang w:val="en-GB"/>
              </w:rPr>
              <w:t xml:space="preserve">Chelmsford &amp; Mid Essex CAMRA </w:t>
            </w:r>
          </w:p>
          <w:p w14:paraId="00000002">
            <w:pPr>
              <w:rPr>
                <w:lang w:val="en-GB"/>
              </w:rPr>
            </w:pPr>
            <w:r>
              <w:rPr>
                <w:b/>
                <w:bCs/>
                <w:sz w:val="36"/>
                <w:szCs w:val="36"/>
                <w:lang w:val="en-GB"/>
              </w:rPr>
              <w:t>Essex Pub of the Year 2025 (POTY)</w:t>
            </w:r>
          </w:p>
        </w:tc>
        <w:tc>
          <w:tcPr>
            <w:tcW w:w="2929" w:type="dxa"/>
          </w:tcPr>
          <w:p w14:paraId="00000003">
            <w:pPr>
              <w:rPr>
                <w:lang w:val="en-GB"/>
              </w:rPr>
            </w:pPr>
            <w:r>
              <w:rPr>
                <w:lang w:val="en-GB"/>
              </w:rPr>
              <w:drawing xmlns:mc="http://schemas.openxmlformats.org/markup-compatibility/2006">
                <wp:inline>
                  <wp:extent cx="1703070" cy="807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ChangeAspect="1" noMove="0"/>
                          </pic:cNvPicPr>
                        </pic:nvPicPr>
                        <pic:blipFill>
                          <a:blip r:embed="rId6"/>
                          <a:srcRect/>
                          <a:stretch>
                            <a:fillRect/>
                          </a:stretch>
                        </pic:blipFill>
                        <pic:spPr>
                          <a:xfrm>
                            <a:off x="0" y="0"/>
                            <a:ext cx="1703070" cy="807085"/>
                          </a:xfrm>
                          <a:prstGeom prst="rect">
                            <a:avLst/>
                          </a:prstGeom>
                        </pic:spPr>
                      </pic:pic>
                    </a:graphicData>
                  </a:graphic>
                </wp:inline>
              </w:drawing>
            </w:r>
          </w:p>
        </w:tc>
      </w:tr>
    </w:tbl>
    <w:p w14:paraId="00000004">
      <w:pPr>
        <w:rPr>
          <w:lang w:val="en-GB"/>
        </w:rPr>
      </w:pPr>
    </w:p>
    <w:p w14:paraId="00000005">
      <w:pPr>
        <w:rPr>
          <w:lang w:val="en-GB"/>
        </w:rPr>
      </w:pPr>
    </w:p>
    <w:p w14:paraId="00000006">
      <w:r>
        <w:rPr>
          <w:lang w:val="en-GB"/>
        </w:rPr>
        <w:t>The judging for the Essex Pub of the Year 2025 is now open. The following pubs have won their branch round of voting and are:</w:t>
      </w:r>
    </w:p>
    <w:p w14:paraId="00000007"/>
    <w:p w14:paraId="00000008">
      <w:pPr>
        <w:numPr>
          <w:ilvl w:val="0"/>
          <w:numId w:val="1"/>
        </w:numPr>
        <w:rPr>
          <w:lang w:val="en-GB"/>
        </w:rPr>
      </w:pPr>
      <w:r>
        <w:rPr>
          <w:lang w:val="en-GB"/>
        </w:rPr>
        <w:t>Ale House, Colchester</w:t>
      </w:r>
    </w:p>
    <w:p w14:paraId="00000009">
      <w:pPr>
        <w:numPr>
          <w:ilvl w:val="0"/>
          <w:numId w:val="1"/>
        </w:numPr>
        <w:rPr>
          <w:lang w:val="en-GB"/>
        </w:rPr>
      </w:pPr>
      <w:r>
        <w:rPr>
          <w:lang w:val="en-GB"/>
        </w:rPr>
        <w:t>Hurdlemakers Arms, Woodham Mortimer</w:t>
      </w:r>
    </w:p>
    <w:p w14:paraId="0000000A">
      <w:pPr>
        <w:numPr>
          <w:ilvl w:val="0"/>
          <w:numId w:val="1"/>
        </w:numPr>
        <w:rPr>
          <w:lang w:val="en-GB"/>
        </w:rPr>
      </w:pPr>
      <w:r>
        <w:rPr>
          <w:lang w:val="en-GB"/>
        </w:rPr>
        <w:t>Railway Arms, Saffron Walden</w:t>
      </w:r>
    </w:p>
    <w:p w14:paraId="0000000B">
      <w:pPr>
        <w:numPr>
          <w:ilvl w:val="0"/>
          <w:numId w:val="1"/>
        </w:numPr>
        <w:rPr>
          <w:lang w:val="en-GB"/>
        </w:rPr>
      </w:pPr>
      <w:r>
        <w:rPr>
          <w:lang w:val="en-GB"/>
        </w:rPr>
        <w:t>Mile &amp; a Third, Westcliff</w:t>
      </w:r>
    </w:p>
    <w:p w14:paraId="0000000C">
      <w:pPr>
        <w:numPr>
          <w:ilvl w:val="0"/>
          <w:numId w:val="1"/>
        </w:numPr>
        <w:rPr>
          <w:lang w:val="en-GB"/>
        </w:rPr>
      </w:pPr>
      <w:r>
        <w:rPr>
          <w:lang w:val="en-GB"/>
        </w:rPr>
        <w:t>New Bell Inn, Harwich,</w:t>
      </w:r>
    </w:p>
    <w:p w14:paraId="0000000D">
      <w:pPr>
        <w:numPr>
          <w:ilvl w:val="0"/>
          <w:numId w:val="1"/>
        </w:numPr>
        <w:rPr>
          <w:lang w:val="en-GB"/>
        </w:rPr>
      </w:pPr>
      <w:r>
        <w:rPr>
          <w:lang w:val="en-GB"/>
        </w:rPr>
        <w:t>Rising Sun, Stanford Lee Hope</w:t>
      </w:r>
    </w:p>
    <w:p w14:paraId="0000000E">
      <w:pPr>
        <w:numPr>
          <w:ilvl w:val="0"/>
          <w:numId w:val="1"/>
        </w:numPr>
        <w:rPr/>
      </w:pPr>
      <w:r>
        <w:rPr>
          <w:lang w:val="en-GB"/>
        </w:rPr>
        <w:t>Endeavour</w:t>
      </w:r>
      <w:r>
        <w:rPr>
          <w:lang w:val="en-GB"/>
        </w:rPr>
        <w:t>, Springfield</w:t>
      </w:r>
    </w:p>
    <w:p w14:paraId="0000000F"/>
    <w:p w14:paraId="00000010">
      <w:pPr>
        <w:rPr>
          <w:lang w:val="en-GB"/>
        </w:rPr>
      </w:pPr>
      <w:r>
        <w:rPr>
          <w:lang w:val="en-GB"/>
        </w:rPr>
        <w:t>Voting can be using an</w:t>
      </w:r>
      <w:r>
        <w:rPr>
          <w:rStyle w:val="Hyperlink"/>
          <w:lang w:val="en-GB"/>
        </w:rPr>
        <w:fldChar w:fldCharType="begin"/>
      </w:r>
      <w:r>
        <w:rPr>
          <w:rStyle w:val="Hyperlink"/>
          <w:lang w:val="en-GB"/>
        </w:rPr>
        <w:instrText xml:space="preserve">HYPERLINK "https://form.jotform.com/250654382244355"</w:instrText>
      </w:r>
      <w:r>
        <w:rPr>
          <w:rStyle w:val="Hyperlink"/>
          <w:lang w:val="en-GB"/>
        </w:rPr>
        <w:fldChar w:fldCharType="separate"/>
      </w:r>
      <w:r>
        <w:rPr>
          <w:rStyle w:val="Hyperlink"/>
          <w:lang w:val="en-GB"/>
        </w:rPr>
        <w:t xml:space="preserve"> on-line form</w:t>
      </w:r>
      <w:r>
        <w:rPr>
          <w:lang w:val="en-GB"/>
        </w:rPr>
        <w:fldChar w:fldCharType="end"/>
      </w:r>
      <w:r>
        <w:rPr>
          <w:lang w:val="en-GB"/>
        </w:rPr>
        <w:t xml:space="preserve">. You can fill it in one pub at a time and click the “Save and Continue later” </w:t>
      </w:r>
      <w:r>
        <w:rPr>
          <w:lang w:val="en-GB"/>
        </w:rPr>
        <w:t>button.</w:t>
      </w:r>
    </w:p>
    <w:p w14:paraId="00000011">
      <w:pPr>
        <w:rPr>
          <w:lang w:val="en-GB"/>
        </w:rPr>
      </w:pPr>
    </w:p>
    <w:p w14:paraId="00000012">
      <w:pPr>
        <w:rPr>
          <w:u w:val="single"/>
          <w:lang w:val="en-GB"/>
        </w:rPr>
      </w:pPr>
      <w:r>
        <w:rPr>
          <w:u w:val="single"/>
          <w:lang w:val="en-GB"/>
        </w:rPr>
        <w:t>More information:</w:t>
      </w:r>
    </w:p>
    <w:p w14:paraId="00000013">
      <w:pPr>
        <w:rPr>
          <w:lang w:val="en-GB"/>
        </w:rPr>
      </w:pPr>
      <w:r>
        <w:rPr>
          <w:lang w:val="en-GB"/>
        </w:rPr>
        <w:t>The</w:t>
      </w:r>
      <w:r>
        <w:rPr>
          <w:lang w:val="en-GB"/>
        </w:rPr>
        <w:t xml:space="preserve"> POTY voting Guidance can be found a </w:t>
      </w:r>
      <w:r>
        <w:rPr>
          <w:rStyle w:val="Hyperlink"/>
          <w:lang w:val="en-GB"/>
        </w:rPr>
        <w:fldChar w:fldCharType="begin"/>
      </w:r>
      <w:r>
        <w:rPr>
          <w:rStyle w:val="Hyperlink"/>
          <w:lang w:val="en-GB"/>
        </w:rPr>
        <w:instrText xml:space="preserve">HYPERLINK "https://eastanglia.camra.org.uk/dl.php?id=256814"</w:instrText>
      </w:r>
      <w:r>
        <w:rPr>
          <w:rStyle w:val="Hyperlink"/>
          <w:lang w:val="en-GB"/>
        </w:rPr>
        <w:fldChar w:fldCharType="separate"/>
      </w:r>
      <w:r>
        <w:rPr>
          <w:rStyle w:val="Hyperlink"/>
          <w:lang w:val="en-GB"/>
        </w:rPr>
        <w:t>here</w:t>
      </w:r>
      <w:r>
        <w:rPr>
          <w:lang w:val="en-GB"/>
        </w:rPr>
        <w:fldChar w:fldCharType="end"/>
      </w:r>
    </w:p>
    <w:p w14:paraId="00000014">
      <w:r>
        <w:rPr>
          <w:lang w:val="en-GB"/>
        </w:rPr>
        <w:t xml:space="preserve">The POTY Judging Form is </w:t>
      </w:r>
      <w:r>
        <w:rPr>
          <w:rStyle w:val="Hyperlink"/>
          <w:lang w:val="en-GB"/>
        </w:rPr>
        <w:fldChar w:fldCharType="begin"/>
      </w:r>
      <w:r>
        <w:rPr>
          <w:rStyle w:val="Hyperlink"/>
          <w:lang w:val="en-GB"/>
        </w:rPr>
        <w:instrText xml:space="preserve">HYPERLINK "https://eastanglia.camra.org.uk/dl.php?id=256815"</w:instrText>
      </w:r>
      <w:r>
        <w:rPr>
          <w:rStyle w:val="Hyperlink"/>
          <w:lang w:val="en-GB"/>
        </w:rPr>
        <w:fldChar w:fldCharType="separate"/>
      </w:r>
      <w:r>
        <w:rPr>
          <w:rStyle w:val="Hyperlink"/>
          <w:lang w:val="en-GB"/>
        </w:rPr>
        <w:t>here</w:t>
      </w:r>
      <w:r>
        <w:rPr>
          <w:lang w:val="en-GB"/>
        </w:rPr>
        <w:fldChar w:fldCharType="end"/>
      </w:r>
      <w:r>
        <w:rPr>
          <w:lang w:val="en-GB"/>
        </w:rPr>
        <w:t xml:space="preserve"> </w:t>
      </w:r>
    </w:p>
    <w:p w14:paraId="00000015">
      <w:r>
        <w:rPr>
          <w:lang w:val="en-GB"/>
        </w:rPr>
        <w:t xml:space="preserve">Please remember that you have to judge all pubs - </w:t>
      </w:r>
      <w:r>
        <w:rPr>
          <w:b/>
          <w:bCs/>
          <w:lang w:val="en-GB"/>
        </w:rPr>
        <w:t>see new rule below*</w:t>
      </w:r>
      <w:r>
        <w:rPr>
          <w:lang w:val="en-GB"/>
        </w:rPr>
        <w:t xml:space="preserve"> - for your scores to count.  Please be fair and impartial.</w:t>
      </w:r>
    </w:p>
    <w:p w14:paraId="00000016">
      <w:r>
        <w:rPr>
          <w:lang w:val="en-GB"/>
        </w:rPr>
        <w:t xml:space="preserve">The branch will not be running a mini bus this year for the Essex judging. </w:t>
      </w:r>
    </w:p>
    <w:p w14:paraId="00000017"/>
    <w:p w14:paraId="00000018">
      <w:r>
        <w:rPr>
          <w:lang w:val="en-GB"/>
        </w:rPr>
        <w:t xml:space="preserve">The deadline is </w:t>
      </w:r>
      <w:r>
        <w:rPr>
          <w:b/>
          <w:bCs/>
          <w:lang w:val="en-GB"/>
        </w:rPr>
        <w:t>end of</w:t>
      </w:r>
      <w:r>
        <w:rPr>
          <w:lang w:val="en-GB"/>
        </w:rPr>
        <w:t xml:space="preserve"> Sunday 18 May 2025</w:t>
      </w:r>
    </w:p>
    <w:p w14:paraId="00000019"/>
    <w:p w14:paraId="0000001A">
      <w:r>
        <w:rPr>
          <w:u w:val="single"/>
          <w:lang w:val="en-GB"/>
        </w:rPr>
        <w:t>*New rule for 2025</w:t>
      </w:r>
    </w:p>
    <w:p w14:paraId="0000001B">
      <w:r>
        <w:rPr>
          <w:lang w:val="en-GB"/>
        </w:rPr>
        <w:t xml:space="preserve">The East Anglian Regional </w:t>
      </w:r>
      <w:r>
        <w:rPr>
          <w:lang w:val="en-GB"/>
        </w:rPr>
        <w:t>management team</w:t>
      </w:r>
      <w:r>
        <w:rPr>
          <w:lang w:val="en-GB"/>
        </w:rPr>
        <w:t xml:space="preserve"> has decided that you do not judge your own branch’s POTY. This reduces the number to be judged to 6. You are welcome to enter scores for your branch's POTY, but they will be excluded from the overall scores.</w:t>
      </w:r>
    </w:p>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等线"/>
  <w:font w:name="Calibri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
    <w:multiLevelType w:val="hybridMultilevel"/>
    <w:lvl w:ilvl="0" w:tentative="0">
      <w:start w:val="1"/>
      <w:numFmt w:val="decimal"/>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GB" w:eastAsia="zh-CN" w:bidi="ar-SA"/>
  <w:clrSchemeMapping w:accent1="accent1" w:accent2="accent2" w:accent3="accent3" w:accent4="accent4" w:accent5="accent5" w:accent6="accent6" w:bg1="light1" w:bg2="light2" w:followedHyperlink="followedHyperlink" w:hyperlink="hyperlink" w:t1="dark1" w:t2="dark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Calibri" w:cs="Calibri Light" w:eastAsia="等线" w:hAnsi="Calibri"/>
        <w:color w:val="000000"/>
        <w:sz w:val="24"/>
        <w:szCs w:val="24"/>
      </w:rPr>
    </w:rPrDefault>
    <w:pPrDefault>
      <w:pPr>
        <w:spacing w:after="0" w:line="240"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settings" Target="settings.xml"/><Relationship Id="rId6" Type="http://schemas.openxmlformats.org/officeDocument/2006/relationships/image" Target="media/image1.jpeg"/></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norob</dc:creator>
  <cp:lastModifiedBy>norob</cp:lastModifiedBy>
</cp:coreProperties>
</file>